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B" w:rsidRPr="005B7BBD" w:rsidRDefault="00AC426B" w:rsidP="005B7BBD">
      <w:pPr>
        <w:jc w:val="right"/>
        <w:rPr>
          <w:rFonts w:ascii="Georgia" w:hAnsi="Georgia" w:cs="Georgia"/>
          <w:b/>
          <w:color w:val="000000"/>
        </w:rPr>
      </w:pPr>
    </w:p>
    <w:p w:rsidR="00AC426B" w:rsidRPr="005B7BBD" w:rsidRDefault="00AC426B" w:rsidP="005B7BBD">
      <w:pPr>
        <w:jc w:val="right"/>
        <w:rPr>
          <w:rFonts w:ascii="Georgia" w:hAnsi="Georgia" w:cs="Georgia"/>
          <w:b/>
          <w:color w:val="000000"/>
        </w:rPr>
      </w:pPr>
      <w:r w:rsidRPr="005B7BBD">
        <w:rPr>
          <w:rFonts w:ascii="Georgia" w:hAnsi="Georgia" w:cs="Georgia"/>
          <w:b/>
          <w:color w:val="000000"/>
        </w:rPr>
        <w:t xml:space="preserve">Доклад </w:t>
      </w:r>
      <w:r w:rsidR="005B7BBD" w:rsidRPr="005B7BBD">
        <w:rPr>
          <w:rFonts w:ascii="Georgia" w:hAnsi="Georgia" w:cs="Georgia"/>
          <w:b/>
          <w:color w:val="000000"/>
        </w:rPr>
        <w:t>заместителя председателя комитета областной Думы по экономической, инновационной политике, науке, промышленности и транспорту Владимира Кабанова.</w:t>
      </w:r>
    </w:p>
    <w:p w:rsidR="00AC426B" w:rsidRDefault="00AC426B" w:rsidP="00AC426B">
      <w:pPr>
        <w:rPr>
          <w:rFonts w:ascii="Georgia" w:hAnsi="Georgia" w:cs="Georgia"/>
          <w:color w:val="000000"/>
          <w:sz w:val="28"/>
          <w:szCs w:val="28"/>
        </w:rPr>
      </w:pPr>
    </w:p>
    <w:p w:rsidR="00AC426B" w:rsidRDefault="00AC426B" w:rsidP="00AC426B">
      <w:pPr>
        <w:rPr>
          <w:rFonts w:ascii="Georgia" w:hAnsi="Georgia" w:cs="Georgia"/>
          <w:color w:val="000000"/>
          <w:sz w:val="28"/>
          <w:szCs w:val="28"/>
        </w:rPr>
      </w:pP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Законопроект о ГПЧ снимает часть барьеров</w:t>
      </w:r>
      <w:r>
        <w:rPr>
          <w:color w:val="000000"/>
          <w:sz w:val="26"/>
          <w:szCs w:val="26"/>
        </w:rPr>
        <w:t xml:space="preserve">. Госдумой РФ </w:t>
      </w:r>
      <w:r>
        <w:rPr>
          <w:color w:val="000000"/>
        </w:rPr>
        <w:t xml:space="preserve">принят </w:t>
      </w:r>
      <w:r w:rsidR="005B7BBD">
        <w:rPr>
          <w:color w:val="000000"/>
          <w:sz w:val="26"/>
          <w:szCs w:val="26"/>
        </w:rPr>
        <w:t>в первом чтении з</w:t>
      </w:r>
      <w:r>
        <w:rPr>
          <w:color w:val="000000"/>
          <w:sz w:val="26"/>
          <w:szCs w:val="26"/>
        </w:rPr>
        <w:t>акон о гос</w:t>
      </w:r>
      <w:r w:rsidR="005B7BBD">
        <w:rPr>
          <w:color w:val="000000"/>
          <w:sz w:val="26"/>
          <w:szCs w:val="26"/>
        </w:rPr>
        <w:t>ударственно-частном партнерстве</w:t>
      </w:r>
      <w:r>
        <w:rPr>
          <w:color w:val="000000"/>
          <w:sz w:val="26"/>
          <w:szCs w:val="26"/>
        </w:rPr>
        <w:t>. Например, сегодня, если в составе того или иного проекта ГЧП фигурирует земельный участок, необходимо проводить отдельный конкурс по земле. И победитель конкурса по всему проекту ГЧП, с одной стороны, и по земельному участку, с другой, могут не совпасть. Законопроект предусматривает возможность единого конкурса.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 устанавливает долгосрочный механизм компенсации инвестору части затрат публичной стороной соглашения. При этом долгосрочность такой компенсации обеспечивается включением проектов ГЧП в региональные и муниципальные целевые программы, которые в соответствии с Бюджетным кодексом могут приниматься сроком до 3-х лет.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Законо</w:t>
      </w:r>
      <w:r w:rsidR="00BC1E5D">
        <w:rPr>
          <w:color w:val="000000"/>
          <w:sz w:val="26"/>
          <w:szCs w:val="26"/>
        </w:rPr>
        <w:t xml:space="preserve">проект о ГЧП </w:t>
      </w:r>
      <w:r>
        <w:rPr>
          <w:color w:val="000000"/>
          <w:sz w:val="26"/>
          <w:szCs w:val="26"/>
        </w:rPr>
        <w:t>дает возможность осуществления проектирования объекта ГЧП частной стороной. На сегодня в России практически не используются проекты ГЧП, в которых концессионер участвует не только в строительстве, но и в проектировании объектов. Последнее осуществляется силами государственных органов, зачастую с использованием компетенций институтов "советских в</w:t>
      </w:r>
      <w:r w:rsidR="005B7BBD">
        <w:rPr>
          <w:color w:val="000000"/>
          <w:sz w:val="26"/>
          <w:szCs w:val="26"/>
        </w:rPr>
        <w:t xml:space="preserve">ремен" и "советских", старых </w:t>
      </w:r>
      <w:proofErr w:type="spellStart"/>
      <w:r w:rsidR="005B7BBD">
        <w:rPr>
          <w:color w:val="000000"/>
          <w:sz w:val="26"/>
          <w:szCs w:val="26"/>
        </w:rPr>
        <w:t>СНи</w:t>
      </w:r>
      <w:r>
        <w:rPr>
          <w:color w:val="000000"/>
          <w:sz w:val="26"/>
          <w:szCs w:val="26"/>
        </w:rPr>
        <w:t>Пов</w:t>
      </w:r>
      <w:proofErr w:type="spellEnd"/>
      <w:r>
        <w:rPr>
          <w:color w:val="000000"/>
          <w:sz w:val="26"/>
          <w:szCs w:val="26"/>
        </w:rPr>
        <w:t>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объектов </w:t>
      </w:r>
      <w:r>
        <w:rPr>
          <w:color w:val="000000"/>
        </w:rPr>
        <w:t xml:space="preserve">ЖКХ, </w:t>
      </w:r>
      <w:r>
        <w:rPr>
          <w:color w:val="000000"/>
          <w:sz w:val="26"/>
          <w:szCs w:val="26"/>
        </w:rPr>
        <w:t xml:space="preserve">энергетики, обороны и безопасности разработаны изменения в законодательство, предусматривающие особый порядок передачи государственного и муниципального имущества в управление частной стороне, включая четкие конкурсные процедуры и критерии отбора. Дело в том, что были случаи, когда частный партнер, получая в управление объекты </w:t>
      </w:r>
      <w:r>
        <w:rPr>
          <w:color w:val="000000"/>
        </w:rPr>
        <w:t xml:space="preserve">ЖКХ, </w:t>
      </w:r>
      <w:r>
        <w:rPr>
          <w:color w:val="000000"/>
          <w:sz w:val="26"/>
          <w:szCs w:val="26"/>
        </w:rPr>
        <w:t>ограничивался минимальными инвестициями, не улучшал состояние объекта, а лишь взвинчивал тарифы на коммунальные ресурсы.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сих пор законодательно регулируется лишь одна модель ГЧП -</w:t>
      </w:r>
      <w:r w:rsidR="005B7B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концессия (ВТО - </w:t>
      </w:r>
      <w:r>
        <w:rPr>
          <w:color w:val="000000"/>
          <w:sz w:val="26"/>
          <w:szCs w:val="26"/>
          <w:lang w:val="en-US"/>
        </w:rPr>
        <w:t>build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transfer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operate</w:t>
      </w:r>
      <w:r>
        <w:rPr>
          <w:color w:val="000000"/>
          <w:sz w:val="26"/>
          <w:szCs w:val="26"/>
        </w:rPr>
        <w:t xml:space="preserve">), правовое регулирование неконцессионных форм ГЧП, таких как </w:t>
      </w:r>
      <w:r>
        <w:rPr>
          <w:color w:val="000000"/>
          <w:sz w:val="26"/>
          <w:szCs w:val="26"/>
          <w:lang w:val="en-US"/>
        </w:rPr>
        <w:t>BOOT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  <w:lang w:val="en-US"/>
        </w:rPr>
        <w:t>build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own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operate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transfer</w:t>
      </w:r>
      <w:r>
        <w:rPr>
          <w:color w:val="000000"/>
          <w:sz w:val="26"/>
          <w:szCs w:val="26"/>
        </w:rPr>
        <w:t xml:space="preserve">), </w:t>
      </w:r>
      <w:r>
        <w:rPr>
          <w:color w:val="000000"/>
          <w:sz w:val="26"/>
          <w:szCs w:val="26"/>
          <w:lang w:val="en-US"/>
        </w:rPr>
        <w:t>B</w:t>
      </w:r>
      <w:r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  <w:lang w:val="en-US"/>
        </w:rPr>
        <w:t>T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  <w:lang w:val="en-US"/>
        </w:rPr>
        <w:t>build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own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lease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transfer</w:t>
      </w:r>
      <w:r>
        <w:rPr>
          <w:color w:val="000000"/>
          <w:sz w:val="26"/>
          <w:szCs w:val="26"/>
        </w:rPr>
        <w:t>) и ряд других.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Модель </w:t>
      </w:r>
      <w:r>
        <w:rPr>
          <w:color w:val="000000"/>
          <w:sz w:val="26"/>
          <w:szCs w:val="26"/>
          <w:u w:val="single"/>
          <w:lang w:val="en-US"/>
        </w:rPr>
        <w:t>BOOT</w:t>
      </w:r>
      <w:r>
        <w:rPr>
          <w:color w:val="000000"/>
          <w:sz w:val="26"/>
          <w:szCs w:val="26"/>
        </w:rPr>
        <w:t xml:space="preserve"> предусматривает возмещение затрат частного партнера за счет доходов от построенного</w:t>
      </w:r>
      <w:r w:rsidR="005B7BBD">
        <w:rPr>
          <w:color w:val="000000"/>
          <w:sz w:val="26"/>
          <w:szCs w:val="26"/>
        </w:rPr>
        <w:t xml:space="preserve"> объекта. Отличие от концессии – </w:t>
      </w:r>
      <w:r>
        <w:rPr>
          <w:color w:val="000000"/>
          <w:sz w:val="26"/>
          <w:szCs w:val="26"/>
        </w:rPr>
        <w:t xml:space="preserve"> право собственности на объект по окончании его строительства принадлежит частному партнеру, передача в собственность публичному партнеру переходит по истечении установленного соглашением срока и возмещения затрат. Преимущество модели - возможность залога объекта частной стороной для привлечения финансирования.</w:t>
      </w:r>
    </w:p>
    <w:p w:rsidR="00AC426B" w:rsidRDefault="00AC426B" w:rsidP="0089762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Модель </w:t>
      </w:r>
      <w:r>
        <w:rPr>
          <w:color w:val="000000"/>
          <w:sz w:val="26"/>
          <w:szCs w:val="26"/>
          <w:u w:val="single"/>
          <w:lang w:val="en-US"/>
        </w:rPr>
        <w:t>BQ</w:t>
      </w:r>
      <w:r>
        <w:rPr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  <w:lang w:val="en-US"/>
        </w:rPr>
        <w:t>T</w:t>
      </w:r>
      <w:r>
        <w:rPr>
          <w:color w:val="000000"/>
          <w:sz w:val="26"/>
          <w:szCs w:val="26"/>
        </w:rPr>
        <w:t xml:space="preserve"> предполагает передачу частным партнером построенного объекта в аренду публичной стороне, последняя осуществляет эксплуатацию и производит арендные платежи в пользу частного партнера. Данная модель интересна для инвестора возможностью привлечения залогового финансирования, так как построенный объект находится до истечения срока аренды в его собственности.</w:t>
      </w:r>
    </w:p>
    <w:p w:rsidR="00AC426B" w:rsidRDefault="00AC426B" w:rsidP="0089762A">
      <w:pPr>
        <w:jc w:val="both"/>
        <w:rPr>
          <w:color w:val="000000"/>
          <w:sz w:val="26"/>
          <w:szCs w:val="26"/>
        </w:rPr>
      </w:pP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Существующее законодательство до сих пор не позволяет вести инвестиционные проекты несколькими публично-правовыми организациями. Это делает </w:t>
      </w:r>
      <w:r>
        <w:rPr>
          <w:color w:val="000000"/>
          <w:sz w:val="26"/>
          <w:szCs w:val="26"/>
        </w:rPr>
        <w:lastRenderedPageBreak/>
        <w:t>невозможным реализацию проектов по созданию объектов, необходимых сразу для нескольких муниципальных образований под "одной крышей" (проект ХМАО).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Законопроект содержит перечень возможных прав и обязательств частного партнера в рамках соглашения о ГЧП отличных от госзаказа, которые позволяют структурировать каждый проект, исходя из его особенностей. В тоже время исключена возможность скрытой приватизации, когда публичная сторона передает на конкурсной основе объект или имущество частной стороне в собственность. Но если строительство осуществил частник, объект ГЧП может находиться в его собственности, частнику разрешено владеть им и эксплуатировать его в течение всего срока действия соглашения. До сих пор по закону о концессиях созданный объект сразу же оформлялся в собственность публичной стороны. В связи с этим инвестор не мог использовать объект концессии в качестве залога для привлечения внешнего финансирования. Теперь такая возможность предусматривается.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Слабое звено сегодня:</w:t>
      </w:r>
      <w:r>
        <w:rPr>
          <w:color w:val="000000"/>
          <w:sz w:val="26"/>
          <w:szCs w:val="26"/>
        </w:rPr>
        <w:t xml:space="preserve"> не только представителям органов власти, но и частным инвесторам и финансистам не хватает квалификации, опыта, компетенций. ГЧП - это сложный процесс взаимодействия госорганов и частного бизнеса, нередко с участием 3-й стороны - банков, организующих финансирование проектов.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"Спрос на ГЧП как на формат долгосрочных ответственных взаимоотношений "государство - бизнес" постепенно созревает" - констатирует Павел Селезнев, председатель правления НП "Центр развития ГЧП" (Журнал "Эксперт" № 45,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6"/>
            <w:szCs w:val="26"/>
          </w:rPr>
          <w:t>2012 г</w:t>
        </w:r>
      </w:smartTag>
      <w:r>
        <w:rPr>
          <w:color w:val="000000"/>
          <w:sz w:val="26"/>
          <w:szCs w:val="26"/>
        </w:rPr>
        <w:t xml:space="preserve">., стр. 40). Для государства в таких проектах привлекательна возможность, во-первых, на порядок улучшить качество представляемой населению услуги за счет привлечения частного партнера, обладающего </w:t>
      </w:r>
      <w:proofErr w:type="spellStart"/>
      <w:r>
        <w:rPr>
          <w:color w:val="000000"/>
          <w:sz w:val="26"/>
          <w:szCs w:val="26"/>
        </w:rPr>
        <w:t>профкомпетенциями</w:t>
      </w:r>
      <w:proofErr w:type="spellEnd"/>
      <w:r>
        <w:rPr>
          <w:color w:val="000000"/>
          <w:sz w:val="26"/>
          <w:szCs w:val="26"/>
        </w:rPr>
        <w:t>, и, во-вторых, возможность снять с себя бремя по организации операционной деятельности на объекте инфраструктуры, в том числе по его эксплуатации.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Частный партнер, входя в проект ГЧП, получает достаточно стабильный, сравнительно хорошо прогнозируемый бизнес. Возможность планирования денежный потоков проекта в среднем лет на 20 позволяет привлекать долговое финансирование, в том числе и под развитие других объектов. Сегодня это, прежде всего, проекты ГЧП в дорожном строительстве, по причине понятной </w:t>
      </w:r>
      <w:proofErr w:type="spellStart"/>
      <w:proofErr w:type="gramStart"/>
      <w:r>
        <w:rPr>
          <w:color w:val="000000"/>
          <w:sz w:val="26"/>
          <w:szCs w:val="26"/>
        </w:rPr>
        <w:t>бизнес-модели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Западе широко применяется концепция </w:t>
      </w:r>
      <w:r>
        <w:rPr>
          <w:color w:val="000000"/>
          <w:sz w:val="26"/>
          <w:szCs w:val="26"/>
          <w:lang w:val="en-US"/>
        </w:rPr>
        <w:t>Tax</w:t>
      </w:r>
      <w:r w:rsidRPr="00AC42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increment</w:t>
      </w:r>
      <w:r w:rsidRPr="00AC42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financing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  <w:lang w:val="en-US"/>
        </w:rPr>
        <w:t>TIF</w:t>
      </w:r>
      <w:r>
        <w:rPr>
          <w:color w:val="000000"/>
          <w:sz w:val="26"/>
          <w:szCs w:val="26"/>
        </w:rPr>
        <w:t xml:space="preserve">), который был применен при строительстве автозавода в Калужской области ("Фольксваген Рус"). Там было заключено соглашение между областью, </w:t>
      </w:r>
      <w:proofErr w:type="spellStart"/>
      <w:r>
        <w:rPr>
          <w:color w:val="000000"/>
          <w:sz w:val="26"/>
          <w:szCs w:val="26"/>
        </w:rPr>
        <w:t>Минэкономразвитием</w:t>
      </w:r>
      <w:proofErr w:type="spellEnd"/>
      <w:r>
        <w:rPr>
          <w:color w:val="000000"/>
          <w:sz w:val="26"/>
          <w:szCs w:val="26"/>
        </w:rPr>
        <w:t xml:space="preserve"> и инвестором (</w:t>
      </w:r>
      <w:proofErr w:type="spellStart"/>
      <w:proofErr w:type="gramStart"/>
      <w:r>
        <w:rPr>
          <w:color w:val="000000"/>
          <w:sz w:val="26"/>
          <w:szCs w:val="26"/>
        </w:rPr>
        <w:t>к-н</w:t>
      </w:r>
      <w:proofErr w:type="spellEnd"/>
      <w:proofErr w:type="gramEnd"/>
      <w:r>
        <w:rPr>
          <w:color w:val="000000"/>
          <w:sz w:val="26"/>
          <w:szCs w:val="26"/>
        </w:rPr>
        <w:t xml:space="preserve"> "Фольксваген") о локализации на областной территории автомобильного производства. Калужская администрация взяла на себя обязательство за свой счет обеспечить развитие этого индустриального парка инфраструктурой - для этого она создала корпорацию развития   и   привлекла  деньги   Внешэкономбанка.   Компенсация расходов корпорации развития из областного бюджета для возврата заемных средств была синхронизирована с ростом налоговых поступлений от стартовавшего сборочного производства и других компаний формирующегося </w:t>
      </w:r>
      <w:proofErr w:type="spellStart"/>
      <w:r>
        <w:rPr>
          <w:color w:val="000000"/>
          <w:sz w:val="26"/>
          <w:szCs w:val="26"/>
        </w:rPr>
        <w:t>автокластера</w:t>
      </w:r>
      <w:proofErr w:type="spellEnd"/>
      <w:r>
        <w:rPr>
          <w:color w:val="000000"/>
          <w:sz w:val="26"/>
          <w:szCs w:val="26"/>
        </w:rPr>
        <w:t>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Большие планы применения механизмов в перспективных проектах Правительства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Москвы, особенно в транспортном секторе. Так, например, в строительстве транспортно-пересадочных узлов (ТПУ - их намечается построить 279 единиц), в организации парковочных пространств, создание перехватывающих парковок в рамках строительства ТПУ, в строительстве линий скоростного трамвая, автобусов, электропоездов.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общему мнению участников II Ежегодной конференции "Государственно-частное партнерство в России - 2012" в проектах ГЧП на первый план выходит проблема структурирования проектов, а не проблема финансирования.</w:t>
      </w:r>
    </w:p>
    <w:p w:rsidR="00AC426B" w:rsidRDefault="00AC426B" w:rsidP="008976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мнению выступивших на конференции экспертов "Центра развития государственно-частного партнерства" в проекте "Закона о ГЧП" нет соответствия действующей судебной практики, предусмотренной 94 Федеральным законом и Градостроительным кодексом, отсутствует норма пересмотра участников конкурса в случаях их вынужденной замены. Большей четкости требуют конкурсные Правила, особенно в части соблюдения и обоснования их сроков, а также действующая практика проверки закупок.</w:t>
      </w:r>
    </w:p>
    <w:p w:rsidR="00AC426B" w:rsidRDefault="00AC426B" w:rsidP="0089762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словом, подготовленный проект закона потребует серьезной доработки. Важно при этом сохранить заложенные в нем главные</w:t>
      </w:r>
      <w:r w:rsidR="00BC1E5D">
        <w:rPr>
          <w:color w:val="000000"/>
          <w:sz w:val="26"/>
          <w:szCs w:val="26"/>
        </w:rPr>
        <w:t xml:space="preserve"> принципы, опробованные </w:t>
      </w:r>
      <w:r>
        <w:rPr>
          <w:color w:val="000000"/>
          <w:sz w:val="26"/>
          <w:szCs w:val="26"/>
        </w:rPr>
        <w:t>на практике в субъектах федерации, на базе региональных законов о ГЧП и давших первые положительные результ</w:t>
      </w:r>
      <w:r w:rsidR="00BC1E5D">
        <w:rPr>
          <w:color w:val="000000"/>
          <w:sz w:val="26"/>
          <w:szCs w:val="26"/>
        </w:rPr>
        <w:t>аты.</w:t>
      </w:r>
    </w:p>
    <w:p w:rsidR="00BC1E5D" w:rsidRDefault="00BC1E5D" w:rsidP="0089762A">
      <w:pPr>
        <w:jc w:val="both"/>
        <w:rPr>
          <w:color w:val="000000"/>
          <w:sz w:val="26"/>
          <w:szCs w:val="26"/>
        </w:rPr>
      </w:pPr>
    </w:p>
    <w:p w:rsidR="00BC1E5D" w:rsidRPr="00BC1E5D" w:rsidRDefault="00BC1E5D" w:rsidP="0089762A">
      <w:pPr>
        <w:jc w:val="both"/>
        <w:rPr>
          <w:b/>
          <w:i/>
          <w:color w:val="000000"/>
          <w:sz w:val="26"/>
          <w:szCs w:val="26"/>
        </w:rPr>
      </w:pPr>
      <w:r w:rsidRPr="00BC1E5D">
        <w:rPr>
          <w:b/>
          <w:i/>
          <w:color w:val="000000"/>
          <w:sz w:val="26"/>
          <w:szCs w:val="26"/>
        </w:rPr>
        <w:t xml:space="preserve">Информация  подготовлена с использованием материалов сайта Государственной Думы ФС РФ. </w:t>
      </w:r>
    </w:p>
    <w:p w:rsidR="00AC426B" w:rsidRDefault="00AC426B" w:rsidP="00AC426B">
      <w:pPr>
        <w:rPr>
          <w:color w:val="000000"/>
          <w:sz w:val="26"/>
          <w:szCs w:val="26"/>
        </w:rPr>
      </w:pPr>
    </w:p>
    <w:p w:rsidR="00CA4D66" w:rsidRDefault="00CA4D66"/>
    <w:sectPr w:rsidR="00C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6B"/>
    <w:rsid w:val="0000468F"/>
    <w:rsid w:val="00004806"/>
    <w:rsid w:val="00011CCC"/>
    <w:rsid w:val="00016F3B"/>
    <w:rsid w:val="0002049D"/>
    <w:rsid w:val="000217BB"/>
    <w:rsid w:val="00022B0C"/>
    <w:rsid w:val="000301E9"/>
    <w:rsid w:val="00031FDE"/>
    <w:rsid w:val="000340D2"/>
    <w:rsid w:val="00040B03"/>
    <w:rsid w:val="000431FE"/>
    <w:rsid w:val="00043E8A"/>
    <w:rsid w:val="00047DA2"/>
    <w:rsid w:val="000548ED"/>
    <w:rsid w:val="0005646C"/>
    <w:rsid w:val="000624BB"/>
    <w:rsid w:val="00073A49"/>
    <w:rsid w:val="00074805"/>
    <w:rsid w:val="00076806"/>
    <w:rsid w:val="000828B7"/>
    <w:rsid w:val="00083AF2"/>
    <w:rsid w:val="0008792F"/>
    <w:rsid w:val="00087A75"/>
    <w:rsid w:val="0009487D"/>
    <w:rsid w:val="0009701E"/>
    <w:rsid w:val="000A64B3"/>
    <w:rsid w:val="000B3F3E"/>
    <w:rsid w:val="000B5363"/>
    <w:rsid w:val="000B6A86"/>
    <w:rsid w:val="000C2EA7"/>
    <w:rsid w:val="000D5463"/>
    <w:rsid w:val="000F3645"/>
    <w:rsid w:val="000F5082"/>
    <w:rsid w:val="000F67FF"/>
    <w:rsid w:val="000F722E"/>
    <w:rsid w:val="001076DC"/>
    <w:rsid w:val="00130FCD"/>
    <w:rsid w:val="00134ED3"/>
    <w:rsid w:val="001373E4"/>
    <w:rsid w:val="00145E71"/>
    <w:rsid w:val="00156223"/>
    <w:rsid w:val="0017212B"/>
    <w:rsid w:val="00172C57"/>
    <w:rsid w:val="00180D03"/>
    <w:rsid w:val="001846F8"/>
    <w:rsid w:val="00187853"/>
    <w:rsid w:val="00193C93"/>
    <w:rsid w:val="00196087"/>
    <w:rsid w:val="001A0D43"/>
    <w:rsid w:val="001A577C"/>
    <w:rsid w:val="001C183F"/>
    <w:rsid w:val="001C2494"/>
    <w:rsid w:val="001C2570"/>
    <w:rsid w:val="001C2C6E"/>
    <w:rsid w:val="001C2DA3"/>
    <w:rsid w:val="001C37C8"/>
    <w:rsid w:val="001D5150"/>
    <w:rsid w:val="001D709A"/>
    <w:rsid w:val="001E589E"/>
    <w:rsid w:val="001F2A91"/>
    <w:rsid w:val="001F528C"/>
    <w:rsid w:val="001F58D8"/>
    <w:rsid w:val="00223250"/>
    <w:rsid w:val="00233794"/>
    <w:rsid w:val="00233847"/>
    <w:rsid w:val="0023588C"/>
    <w:rsid w:val="00243C2A"/>
    <w:rsid w:val="00264339"/>
    <w:rsid w:val="002750AB"/>
    <w:rsid w:val="00280F42"/>
    <w:rsid w:val="00282E9C"/>
    <w:rsid w:val="00293932"/>
    <w:rsid w:val="002A0A36"/>
    <w:rsid w:val="002A5259"/>
    <w:rsid w:val="002A5684"/>
    <w:rsid w:val="002A7EFF"/>
    <w:rsid w:val="002C0B9F"/>
    <w:rsid w:val="002D42FA"/>
    <w:rsid w:val="002D58DA"/>
    <w:rsid w:val="002E0135"/>
    <w:rsid w:val="002E2536"/>
    <w:rsid w:val="002E5AA6"/>
    <w:rsid w:val="002F46DC"/>
    <w:rsid w:val="00307C42"/>
    <w:rsid w:val="003107D1"/>
    <w:rsid w:val="00314227"/>
    <w:rsid w:val="0031533C"/>
    <w:rsid w:val="00316997"/>
    <w:rsid w:val="0032730C"/>
    <w:rsid w:val="00334132"/>
    <w:rsid w:val="00334B4E"/>
    <w:rsid w:val="003350B7"/>
    <w:rsid w:val="0034198E"/>
    <w:rsid w:val="00361632"/>
    <w:rsid w:val="00362828"/>
    <w:rsid w:val="00376DCF"/>
    <w:rsid w:val="003A23E5"/>
    <w:rsid w:val="003A562F"/>
    <w:rsid w:val="003A5C19"/>
    <w:rsid w:val="003A679A"/>
    <w:rsid w:val="003A6D53"/>
    <w:rsid w:val="003A7D8B"/>
    <w:rsid w:val="003B32B1"/>
    <w:rsid w:val="003B38BE"/>
    <w:rsid w:val="003B537C"/>
    <w:rsid w:val="003C2848"/>
    <w:rsid w:val="003D56A7"/>
    <w:rsid w:val="003D6CBE"/>
    <w:rsid w:val="003E09AC"/>
    <w:rsid w:val="003E29BB"/>
    <w:rsid w:val="003E7287"/>
    <w:rsid w:val="00413B54"/>
    <w:rsid w:val="004146A4"/>
    <w:rsid w:val="00415A4D"/>
    <w:rsid w:val="00422E69"/>
    <w:rsid w:val="00454D01"/>
    <w:rsid w:val="0045582C"/>
    <w:rsid w:val="00456C9F"/>
    <w:rsid w:val="00465C98"/>
    <w:rsid w:val="00470C8C"/>
    <w:rsid w:val="00474477"/>
    <w:rsid w:val="004748A9"/>
    <w:rsid w:val="00477403"/>
    <w:rsid w:val="004A0C97"/>
    <w:rsid w:val="004B574D"/>
    <w:rsid w:val="004C3BF5"/>
    <w:rsid w:val="004C7E2D"/>
    <w:rsid w:val="004E5D69"/>
    <w:rsid w:val="0052434F"/>
    <w:rsid w:val="00540E8D"/>
    <w:rsid w:val="00545885"/>
    <w:rsid w:val="00546384"/>
    <w:rsid w:val="0055078F"/>
    <w:rsid w:val="005523C1"/>
    <w:rsid w:val="00552E85"/>
    <w:rsid w:val="00553D97"/>
    <w:rsid w:val="0055761E"/>
    <w:rsid w:val="00580A15"/>
    <w:rsid w:val="005860B2"/>
    <w:rsid w:val="00594798"/>
    <w:rsid w:val="005A2880"/>
    <w:rsid w:val="005A74E0"/>
    <w:rsid w:val="005B1713"/>
    <w:rsid w:val="005B7BBD"/>
    <w:rsid w:val="005C2299"/>
    <w:rsid w:val="005C6FF7"/>
    <w:rsid w:val="005C7C85"/>
    <w:rsid w:val="005D666C"/>
    <w:rsid w:val="005E13E4"/>
    <w:rsid w:val="005E144D"/>
    <w:rsid w:val="005E61E6"/>
    <w:rsid w:val="005E719C"/>
    <w:rsid w:val="005F098A"/>
    <w:rsid w:val="006103F4"/>
    <w:rsid w:val="006275F4"/>
    <w:rsid w:val="0063747E"/>
    <w:rsid w:val="006412DC"/>
    <w:rsid w:val="00650545"/>
    <w:rsid w:val="0065482C"/>
    <w:rsid w:val="00673F1D"/>
    <w:rsid w:val="00675E0A"/>
    <w:rsid w:val="00676EB5"/>
    <w:rsid w:val="006832EE"/>
    <w:rsid w:val="00683D3A"/>
    <w:rsid w:val="00686967"/>
    <w:rsid w:val="006A7AC3"/>
    <w:rsid w:val="006B0FB7"/>
    <w:rsid w:val="006B166D"/>
    <w:rsid w:val="006B4381"/>
    <w:rsid w:val="006B5F26"/>
    <w:rsid w:val="006C734D"/>
    <w:rsid w:val="006D2179"/>
    <w:rsid w:val="006E03F8"/>
    <w:rsid w:val="006F1F34"/>
    <w:rsid w:val="00711367"/>
    <w:rsid w:val="00721E78"/>
    <w:rsid w:val="00726598"/>
    <w:rsid w:val="007339EB"/>
    <w:rsid w:val="00736542"/>
    <w:rsid w:val="00743C96"/>
    <w:rsid w:val="007441A6"/>
    <w:rsid w:val="0075196B"/>
    <w:rsid w:val="00752C4E"/>
    <w:rsid w:val="007625B4"/>
    <w:rsid w:val="007665CB"/>
    <w:rsid w:val="00777D44"/>
    <w:rsid w:val="007837B3"/>
    <w:rsid w:val="007960A1"/>
    <w:rsid w:val="00797C25"/>
    <w:rsid w:val="007B2536"/>
    <w:rsid w:val="007B3699"/>
    <w:rsid w:val="007C30CB"/>
    <w:rsid w:val="007C319C"/>
    <w:rsid w:val="007C5133"/>
    <w:rsid w:val="007C599A"/>
    <w:rsid w:val="007D02F7"/>
    <w:rsid w:val="007D3299"/>
    <w:rsid w:val="007D74DB"/>
    <w:rsid w:val="007E568F"/>
    <w:rsid w:val="007F0100"/>
    <w:rsid w:val="007F36B5"/>
    <w:rsid w:val="00800796"/>
    <w:rsid w:val="008036A4"/>
    <w:rsid w:val="00846E95"/>
    <w:rsid w:val="00855717"/>
    <w:rsid w:val="0086093C"/>
    <w:rsid w:val="00860D11"/>
    <w:rsid w:val="00870A18"/>
    <w:rsid w:val="0089762A"/>
    <w:rsid w:val="008B0512"/>
    <w:rsid w:val="008B5C88"/>
    <w:rsid w:val="008D1378"/>
    <w:rsid w:val="008D64EF"/>
    <w:rsid w:val="008E0C0D"/>
    <w:rsid w:val="008F1E29"/>
    <w:rsid w:val="00900BBA"/>
    <w:rsid w:val="0090122F"/>
    <w:rsid w:val="0090142A"/>
    <w:rsid w:val="0090181B"/>
    <w:rsid w:val="0091509D"/>
    <w:rsid w:val="009161EE"/>
    <w:rsid w:val="009209B4"/>
    <w:rsid w:val="00930DEC"/>
    <w:rsid w:val="00962BA5"/>
    <w:rsid w:val="009641A5"/>
    <w:rsid w:val="00974AF0"/>
    <w:rsid w:val="0098008F"/>
    <w:rsid w:val="00985688"/>
    <w:rsid w:val="00996D68"/>
    <w:rsid w:val="009C3EF7"/>
    <w:rsid w:val="009C52DC"/>
    <w:rsid w:val="009C61BC"/>
    <w:rsid w:val="009C7261"/>
    <w:rsid w:val="009C7F2C"/>
    <w:rsid w:val="009E019F"/>
    <w:rsid w:val="009F2A8F"/>
    <w:rsid w:val="00A140CE"/>
    <w:rsid w:val="00A16395"/>
    <w:rsid w:val="00A21B5C"/>
    <w:rsid w:val="00A21B97"/>
    <w:rsid w:val="00A2657E"/>
    <w:rsid w:val="00A37BD4"/>
    <w:rsid w:val="00A41C28"/>
    <w:rsid w:val="00A53F07"/>
    <w:rsid w:val="00A53FDC"/>
    <w:rsid w:val="00A54EE4"/>
    <w:rsid w:val="00A74995"/>
    <w:rsid w:val="00A8128A"/>
    <w:rsid w:val="00A87AC0"/>
    <w:rsid w:val="00AA4AD9"/>
    <w:rsid w:val="00AB5911"/>
    <w:rsid w:val="00AC426B"/>
    <w:rsid w:val="00AE6373"/>
    <w:rsid w:val="00AE74E8"/>
    <w:rsid w:val="00AF7728"/>
    <w:rsid w:val="00B06493"/>
    <w:rsid w:val="00B15CA1"/>
    <w:rsid w:val="00B17C0D"/>
    <w:rsid w:val="00B25A2D"/>
    <w:rsid w:val="00B25D63"/>
    <w:rsid w:val="00B4096B"/>
    <w:rsid w:val="00B44A16"/>
    <w:rsid w:val="00B51B5D"/>
    <w:rsid w:val="00B55EE1"/>
    <w:rsid w:val="00B712BB"/>
    <w:rsid w:val="00B7159E"/>
    <w:rsid w:val="00B75C5D"/>
    <w:rsid w:val="00B87AE9"/>
    <w:rsid w:val="00B914CC"/>
    <w:rsid w:val="00B928D9"/>
    <w:rsid w:val="00B93E1B"/>
    <w:rsid w:val="00BA450D"/>
    <w:rsid w:val="00BA709A"/>
    <w:rsid w:val="00BC1E5D"/>
    <w:rsid w:val="00BC2E57"/>
    <w:rsid w:val="00BD7E46"/>
    <w:rsid w:val="00C01AB2"/>
    <w:rsid w:val="00C07BAA"/>
    <w:rsid w:val="00C21AB8"/>
    <w:rsid w:val="00C25704"/>
    <w:rsid w:val="00C268C9"/>
    <w:rsid w:val="00C30005"/>
    <w:rsid w:val="00C3079B"/>
    <w:rsid w:val="00C53CF0"/>
    <w:rsid w:val="00C641C8"/>
    <w:rsid w:val="00C66361"/>
    <w:rsid w:val="00C71203"/>
    <w:rsid w:val="00C72EDA"/>
    <w:rsid w:val="00C82228"/>
    <w:rsid w:val="00C85717"/>
    <w:rsid w:val="00C867A4"/>
    <w:rsid w:val="00C87E31"/>
    <w:rsid w:val="00C94027"/>
    <w:rsid w:val="00CA20FD"/>
    <w:rsid w:val="00CA4D66"/>
    <w:rsid w:val="00CB2A86"/>
    <w:rsid w:val="00CC3CA1"/>
    <w:rsid w:val="00CD04A7"/>
    <w:rsid w:val="00CD694B"/>
    <w:rsid w:val="00CF5CEC"/>
    <w:rsid w:val="00CF6A0B"/>
    <w:rsid w:val="00D03696"/>
    <w:rsid w:val="00D04128"/>
    <w:rsid w:val="00D332EB"/>
    <w:rsid w:val="00D3666F"/>
    <w:rsid w:val="00D36AA6"/>
    <w:rsid w:val="00D438A6"/>
    <w:rsid w:val="00D45C9A"/>
    <w:rsid w:val="00D47DF6"/>
    <w:rsid w:val="00D541A9"/>
    <w:rsid w:val="00D61CCD"/>
    <w:rsid w:val="00D7497C"/>
    <w:rsid w:val="00D83868"/>
    <w:rsid w:val="00D876BF"/>
    <w:rsid w:val="00D905F2"/>
    <w:rsid w:val="00D95C6D"/>
    <w:rsid w:val="00DA5B87"/>
    <w:rsid w:val="00DB50CF"/>
    <w:rsid w:val="00DC2AA9"/>
    <w:rsid w:val="00DD0F22"/>
    <w:rsid w:val="00DD11EE"/>
    <w:rsid w:val="00E00E7B"/>
    <w:rsid w:val="00E210D4"/>
    <w:rsid w:val="00E25399"/>
    <w:rsid w:val="00E25A37"/>
    <w:rsid w:val="00E27891"/>
    <w:rsid w:val="00E32074"/>
    <w:rsid w:val="00E35F0C"/>
    <w:rsid w:val="00E436DB"/>
    <w:rsid w:val="00E45C12"/>
    <w:rsid w:val="00E531A8"/>
    <w:rsid w:val="00E56CEF"/>
    <w:rsid w:val="00E66525"/>
    <w:rsid w:val="00E67259"/>
    <w:rsid w:val="00E73B65"/>
    <w:rsid w:val="00E846BB"/>
    <w:rsid w:val="00E90D83"/>
    <w:rsid w:val="00E9687C"/>
    <w:rsid w:val="00EA1E9B"/>
    <w:rsid w:val="00EB631D"/>
    <w:rsid w:val="00EB7770"/>
    <w:rsid w:val="00EB79DC"/>
    <w:rsid w:val="00EC0E0B"/>
    <w:rsid w:val="00ED1915"/>
    <w:rsid w:val="00EF2434"/>
    <w:rsid w:val="00F00169"/>
    <w:rsid w:val="00F0410F"/>
    <w:rsid w:val="00F150E6"/>
    <w:rsid w:val="00F24608"/>
    <w:rsid w:val="00F2551F"/>
    <w:rsid w:val="00F4333C"/>
    <w:rsid w:val="00F56677"/>
    <w:rsid w:val="00F57654"/>
    <w:rsid w:val="00F64C65"/>
    <w:rsid w:val="00F702C3"/>
    <w:rsid w:val="00F7409C"/>
    <w:rsid w:val="00F75E57"/>
    <w:rsid w:val="00F92343"/>
    <w:rsid w:val="00F93AE0"/>
    <w:rsid w:val="00F97254"/>
    <w:rsid w:val="00FA669E"/>
    <w:rsid w:val="00FA79E3"/>
    <w:rsid w:val="00FC68C9"/>
    <w:rsid w:val="00FE12F1"/>
    <w:rsid w:val="00FE1856"/>
    <w:rsid w:val="00FE4E02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2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областная Дума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E_Martynova</dc:creator>
  <cp:keywords/>
  <cp:lastModifiedBy>S_Tolochko</cp:lastModifiedBy>
  <cp:revision>2</cp:revision>
  <dcterms:created xsi:type="dcterms:W3CDTF">2013-06-06T12:08:00Z</dcterms:created>
  <dcterms:modified xsi:type="dcterms:W3CDTF">2013-06-06T12:08:00Z</dcterms:modified>
</cp:coreProperties>
</file>